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adjustRightInd w:val="0"/>
        <w:snapToGrid w:val="0"/>
        <w:spacing w:line="560" w:lineRule="exact"/>
        <w:jc w:val="center"/>
        <w:rPr>
          <w:rFonts w:cs="Times New Roman" w:asciiTheme="majorHAnsi" w:hAnsiTheme="majorEastAsia" w:eastAsiaTheme="majorEastAsia"/>
          <w:bCs w:val="0"/>
          <w:kern w:val="2"/>
          <w:sz w:val="44"/>
          <w:szCs w:val="44"/>
        </w:rPr>
      </w:pPr>
      <w:bookmarkStart w:id="0" w:name="_GoBack"/>
      <w:bookmarkEnd w:id="0"/>
      <w:r>
        <w:rPr>
          <w:rFonts w:hint="eastAsia" w:cs="Times New Roman" w:asciiTheme="majorHAnsi" w:hAnsiTheme="majorEastAsia" w:eastAsiaTheme="majorEastAsia"/>
          <w:bCs w:val="0"/>
          <w:kern w:val="2"/>
          <w:sz w:val="44"/>
          <w:szCs w:val="44"/>
        </w:rPr>
        <w:t>自治区人民政府</w:t>
      </w:r>
      <w:r>
        <w:rPr>
          <w:rFonts w:cs="Times New Roman" w:asciiTheme="majorHAnsi" w:hAnsiTheme="majorEastAsia" w:eastAsiaTheme="majorEastAsia"/>
          <w:bCs w:val="0"/>
          <w:kern w:val="2"/>
          <w:sz w:val="44"/>
          <w:szCs w:val="44"/>
        </w:rPr>
        <w:t>关于推进人民防空</w:t>
      </w:r>
      <w:r>
        <w:rPr>
          <w:rFonts w:hint="eastAsia" w:cs="Times New Roman" w:asciiTheme="majorHAnsi" w:hAnsiTheme="majorEastAsia" w:eastAsiaTheme="majorEastAsia"/>
          <w:bCs w:val="0"/>
          <w:kern w:val="2"/>
          <w:sz w:val="44"/>
          <w:szCs w:val="44"/>
        </w:rPr>
        <w:t>建设</w:t>
      </w:r>
    </w:p>
    <w:p>
      <w:pPr>
        <w:pStyle w:val="2"/>
        <w:shd w:val="clear" w:color="auto" w:fill="FFFFFF"/>
        <w:adjustRightInd w:val="0"/>
        <w:snapToGrid w:val="0"/>
        <w:spacing w:line="560" w:lineRule="exact"/>
        <w:jc w:val="center"/>
        <w:rPr>
          <w:rFonts w:cs="Times New Roman" w:asciiTheme="majorHAnsi" w:hAnsiTheme="majorHAnsi" w:eastAsiaTheme="majorEastAsia"/>
          <w:bCs w:val="0"/>
          <w:kern w:val="2"/>
          <w:sz w:val="44"/>
          <w:szCs w:val="44"/>
        </w:rPr>
      </w:pPr>
      <w:r>
        <w:rPr>
          <w:rFonts w:hint="eastAsia" w:cs="Times New Roman" w:asciiTheme="majorHAnsi" w:hAnsiTheme="majorEastAsia" w:eastAsiaTheme="majorEastAsia"/>
          <w:bCs w:val="0"/>
          <w:kern w:val="2"/>
          <w:sz w:val="44"/>
          <w:szCs w:val="44"/>
        </w:rPr>
        <w:t>持续健康</w:t>
      </w:r>
      <w:r>
        <w:rPr>
          <w:rFonts w:cs="Times New Roman" w:asciiTheme="majorHAnsi" w:hAnsiTheme="majorEastAsia" w:eastAsiaTheme="majorEastAsia"/>
          <w:bCs w:val="0"/>
          <w:kern w:val="2"/>
          <w:sz w:val="44"/>
          <w:szCs w:val="44"/>
        </w:rPr>
        <w:t>发展的意见</w:t>
      </w:r>
    </w:p>
    <w:p>
      <w:pPr>
        <w:shd w:val="clear" w:color="auto" w:fill="FFFFFF"/>
        <w:spacing w:line="480" w:lineRule="atLeast"/>
        <w:jc w:val="center"/>
        <w:rPr>
          <w:rFonts w:ascii="仿宋" w:hAnsi="仿宋" w:eastAsia="仿宋"/>
          <w:sz w:val="32"/>
          <w:szCs w:val="32"/>
        </w:rPr>
      </w:pPr>
      <w:r>
        <w:rPr>
          <w:rFonts w:hint="eastAsia" w:ascii="仿宋" w:hAnsi="仿宋" w:eastAsia="仿宋"/>
          <w:sz w:val="32"/>
          <w:szCs w:val="32"/>
        </w:rPr>
        <w:t>（征求意见稿）</w:t>
      </w:r>
    </w:p>
    <w:p>
      <w:pPr>
        <w:shd w:val="clear" w:color="auto" w:fill="FFFFFF"/>
        <w:spacing w:line="480" w:lineRule="atLeast"/>
        <w:jc w:val="center"/>
        <w:rPr>
          <w:rFonts w:ascii="微软雅黑" w:eastAsia="微软雅黑"/>
          <w:sz w:val="32"/>
          <w:szCs w:val="32"/>
        </w:rPr>
      </w:pPr>
    </w:p>
    <w:p>
      <w:pPr>
        <w:shd w:val="clear" w:color="auto" w:fill="FFFFFF"/>
        <w:spacing w:line="480" w:lineRule="atLeast"/>
        <w:ind w:firstLine="630"/>
        <w:rPr>
          <w:rFonts w:ascii="华文仿宋" w:hAnsi="华文仿宋" w:eastAsia="华文仿宋"/>
          <w:sz w:val="32"/>
          <w:szCs w:val="32"/>
        </w:rPr>
      </w:pPr>
      <w:r>
        <w:rPr>
          <w:rFonts w:hint="eastAsia" w:ascii="华文仿宋" w:hAnsi="华文仿宋" w:eastAsia="华文仿宋"/>
          <w:sz w:val="32"/>
          <w:szCs w:val="32"/>
        </w:rPr>
        <w:t>为深入贯彻落实《中共中央国务院中央军委关于深入推进人民防空改革发展若干问题的决定》（中发【2014】15号）以及第七次全国人民防空会议和全国城市工作会议精神，加快转变人民防空发展方式，努力改善人民防空投资环境，推进人民防空建设持续健康发展，提升城市防空防灾防护能力和综合承载力，结合我区实际，</w:t>
      </w:r>
      <w:r>
        <w:rPr>
          <w:rFonts w:hint="eastAsia" w:ascii="仿宋" w:hAnsi="仿宋" w:eastAsia="仿宋"/>
          <w:sz w:val="32"/>
          <w:szCs w:val="32"/>
        </w:rPr>
        <w:t>提出如下意见。</w:t>
      </w:r>
    </w:p>
    <w:p>
      <w:pPr>
        <w:shd w:val="clear" w:color="auto" w:fill="FFFFFF"/>
        <w:spacing w:line="480" w:lineRule="atLeast"/>
        <w:rPr>
          <w:rFonts w:ascii="黑体" w:hAnsi="黑体" w:eastAsia="黑体"/>
          <w:sz w:val="32"/>
          <w:szCs w:val="32"/>
        </w:rPr>
      </w:pPr>
      <w:r>
        <w:rPr>
          <w:rFonts w:hint="eastAsia" w:ascii="微软雅黑" w:eastAsia="微软雅黑"/>
          <w:szCs w:val="21"/>
        </w:rPr>
        <w:t xml:space="preserve">　    </w:t>
      </w:r>
      <w:r>
        <w:rPr>
          <w:rFonts w:hint="eastAsia" w:ascii="黑体" w:hAnsi="黑体" w:eastAsia="黑体"/>
          <w:szCs w:val="21"/>
        </w:rPr>
        <w:t xml:space="preserve"> </w:t>
      </w:r>
      <w:r>
        <w:rPr>
          <w:rFonts w:hint="eastAsia" w:ascii="黑体" w:hAnsi="黑体" w:eastAsia="黑体"/>
          <w:sz w:val="32"/>
          <w:szCs w:val="32"/>
        </w:rPr>
        <w:t>一、科学编制人防建设规划，促进与城市地下空间融合发展</w:t>
      </w:r>
    </w:p>
    <w:p>
      <w:pPr>
        <w:shd w:val="clear" w:color="auto" w:fill="FFFFFF"/>
        <w:spacing w:line="480" w:lineRule="atLeast"/>
        <w:rPr>
          <w:rFonts w:ascii="仿宋" w:hAnsi="仿宋" w:eastAsia="仿宋"/>
          <w:sz w:val="32"/>
          <w:szCs w:val="32"/>
        </w:rPr>
      </w:pPr>
      <w:r>
        <w:rPr>
          <w:rFonts w:hint="eastAsia" w:ascii="黑体" w:hAnsi="黑体" w:eastAsia="黑体"/>
          <w:b/>
          <w:sz w:val="32"/>
          <w:szCs w:val="32"/>
        </w:rPr>
        <w:t xml:space="preserve">   </w:t>
      </w:r>
      <w:r>
        <w:rPr>
          <w:rFonts w:hint="eastAsia" w:ascii="仿宋" w:hAnsi="仿宋" w:eastAsia="仿宋"/>
          <w:sz w:val="32"/>
          <w:szCs w:val="32"/>
        </w:rPr>
        <w:t xml:space="preserve"> （一） 人防建设规划是推进人防资源科学合理配置的依据，是城市总体规划的重要组成部分。各人民防空重点城市在组织编制或修订城市总体规划时，要坚持集约建设和资源共享，统筹提出人防工程建设与城市地下空间开发利用融合发展的相关要求，在建设种类齐全、布局合理、功能配套的人民防空防护体系的基础上，突出人防资源综合利用、服务社会公共体系的功能，努力构建城市立体化发展的新格局。城市新建民用建筑要依法配套修建防空地下室，在城市公共绿地、广场、商业中心区地下规划建设人防工程。</w:t>
      </w:r>
    </w:p>
    <w:p>
      <w:pPr>
        <w:shd w:val="clear" w:color="auto" w:fill="FFFFFF"/>
        <w:spacing w:line="480" w:lineRule="atLeast"/>
        <w:ind w:firstLine="640" w:firstLineChars="200"/>
        <w:rPr>
          <w:rFonts w:ascii="仿宋" w:hAnsi="仿宋" w:eastAsia="仿宋"/>
          <w:sz w:val="32"/>
          <w:szCs w:val="32"/>
        </w:rPr>
      </w:pPr>
      <w:r>
        <w:rPr>
          <w:rFonts w:hint="eastAsia" w:ascii="仿宋" w:hAnsi="仿宋" w:eastAsia="仿宋"/>
          <w:sz w:val="32"/>
          <w:szCs w:val="32"/>
        </w:rPr>
        <w:t>（二）鼓励利用城市地下空间建设人防工程，将城市结合民用建筑同步规划建设防空地下室纳入土地出让条件，在确定建设项目用地容积率时，结合民用建筑配套修建防空地下室的建筑面积单独计算，不计入建设用地容积率指标。</w:t>
      </w:r>
    </w:p>
    <w:p>
      <w:pPr>
        <w:shd w:val="clear" w:color="auto" w:fill="FFFFFF"/>
        <w:spacing w:line="480" w:lineRule="atLeast"/>
        <w:ind w:firstLine="645"/>
        <w:rPr>
          <w:rFonts w:ascii="黑体" w:hAnsi="黑体" w:eastAsia="黑体"/>
          <w:sz w:val="32"/>
          <w:szCs w:val="32"/>
        </w:rPr>
      </w:pPr>
      <w:r>
        <w:rPr>
          <w:rFonts w:hint="eastAsia" w:ascii="黑体" w:hAnsi="黑体" w:eastAsia="黑体"/>
          <w:sz w:val="32"/>
          <w:szCs w:val="32"/>
        </w:rPr>
        <w:t>二、积极推进人防工程产权改革，引导社会力量参与城市地下空间建设</w:t>
      </w:r>
    </w:p>
    <w:p>
      <w:pPr>
        <w:shd w:val="clear" w:color="auto" w:fill="FFFFFF"/>
        <w:spacing w:line="480" w:lineRule="atLeast"/>
        <w:ind w:firstLine="624" w:firstLineChars="195"/>
        <w:rPr>
          <w:rFonts w:ascii="仿宋" w:hAnsi="仿宋" w:eastAsia="仿宋"/>
          <w:sz w:val="32"/>
          <w:szCs w:val="32"/>
        </w:rPr>
      </w:pPr>
      <w:r>
        <w:rPr>
          <w:rStyle w:val="6"/>
          <w:rFonts w:hint="eastAsia" w:ascii="仿宋" w:hAnsi="仿宋" w:eastAsia="仿宋"/>
          <w:b w:val="0"/>
          <w:sz w:val="32"/>
          <w:szCs w:val="32"/>
        </w:rPr>
        <w:t>加快转变人民防空发展方式，改善人民防空投资环境，各人防重点城市积极探索人防工程产权制度改</w:t>
      </w:r>
      <w:r>
        <w:rPr>
          <w:rFonts w:hint="eastAsia" w:ascii="仿宋" w:hAnsi="仿宋" w:eastAsia="仿宋"/>
          <w:sz w:val="32"/>
          <w:szCs w:val="32"/>
        </w:rPr>
        <w:t>革的有效途径和办法，为推动融合发展创造良好环境条件。</w:t>
      </w:r>
    </w:p>
    <w:p>
      <w:pPr>
        <w:shd w:val="clear" w:color="auto" w:fill="FFFFFF"/>
        <w:spacing w:line="480" w:lineRule="atLeast"/>
        <w:ind w:firstLine="640" w:firstLineChars="200"/>
        <w:rPr>
          <w:rFonts w:ascii="华文仿宋" w:hAnsi="华文仿宋" w:eastAsia="华文仿宋"/>
          <w:sz w:val="32"/>
          <w:szCs w:val="32"/>
        </w:rPr>
      </w:pPr>
      <w:r>
        <w:rPr>
          <w:rFonts w:hint="eastAsia" w:ascii="仿宋" w:hAnsi="仿宋" w:eastAsia="仿宋"/>
          <w:sz w:val="32"/>
          <w:szCs w:val="32"/>
        </w:rPr>
        <w:t>（三）</w:t>
      </w:r>
      <w:r>
        <w:rPr>
          <w:rFonts w:hint="eastAsia" w:ascii="华文仿宋" w:hAnsi="华文仿宋" w:eastAsia="华文仿宋"/>
          <w:sz w:val="32"/>
          <w:szCs w:val="32"/>
        </w:rPr>
        <w:t>政府投资建设的各类单建式人防工程实行土地划拨，免收土地使用税，免收城市基础设施配套费、行政事业性收费。</w:t>
      </w:r>
    </w:p>
    <w:p>
      <w:pPr>
        <w:shd w:val="clear" w:color="auto" w:fill="FFFFFF"/>
        <w:spacing w:line="480" w:lineRule="atLeast"/>
        <w:ind w:firstLine="630"/>
        <w:rPr>
          <w:rFonts w:ascii="华文仿宋" w:hAnsi="华文仿宋" w:eastAsia="华文仿宋"/>
          <w:sz w:val="32"/>
          <w:szCs w:val="32"/>
        </w:rPr>
      </w:pPr>
      <w:r>
        <w:rPr>
          <w:rFonts w:hint="eastAsia" w:ascii="华文仿宋" w:hAnsi="华文仿宋" w:eastAsia="华文仿宋"/>
          <w:sz w:val="32"/>
          <w:szCs w:val="32"/>
        </w:rPr>
        <w:t>（四）社会投资建设的各类商业、旅游、娱乐等经营性项目的单建式人防工程，地下建设用地使用权通过招标、拍卖、挂牌等有偿使用方式取得，土地出让金逐层递减，负一层按照地面同类用途楼面地价30%缴纳，负二层按负一层50%缴纳。</w:t>
      </w:r>
    </w:p>
    <w:p>
      <w:pPr>
        <w:shd w:val="clear" w:color="auto" w:fill="FFFFFF"/>
        <w:spacing w:line="480" w:lineRule="atLeast"/>
        <w:ind w:firstLine="630"/>
        <w:rPr>
          <w:rStyle w:val="6"/>
          <w:rFonts w:ascii="华文仿宋" w:hAnsi="华文仿宋" w:eastAsia="华文仿宋"/>
          <w:b w:val="0"/>
          <w:bCs w:val="0"/>
          <w:sz w:val="32"/>
          <w:szCs w:val="32"/>
        </w:rPr>
      </w:pPr>
      <w:r>
        <w:rPr>
          <w:rFonts w:hint="eastAsia" w:ascii="华文仿宋" w:hAnsi="华文仿宋" w:eastAsia="华文仿宋"/>
          <w:sz w:val="32"/>
          <w:szCs w:val="32"/>
        </w:rPr>
        <w:t>（五）</w:t>
      </w:r>
      <w:r>
        <w:rPr>
          <w:rFonts w:hint="eastAsia" w:ascii="仿宋" w:hAnsi="仿宋" w:eastAsia="仿宋"/>
          <w:sz w:val="32"/>
          <w:szCs w:val="32"/>
        </w:rPr>
        <w:t>社会投资建设人防工程，按照“谁投资、谁维护、谁受益”原则，人防工程产权归投资者所有，投资者</w:t>
      </w:r>
      <w:r>
        <w:rPr>
          <w:rFonts w:hint="eastAsia" w:ascii="华文仿宋" w:hAnsi="华文仿宋" w:eastAsia="华文仿宋"/>
          <w:sz w:val="32"/>
          <w:szCs w:val="32"/>
        </w:rPr>
        <w:t>有权自营、租赁、转让和抵押</w:t>
      </w:r>
      <w:r>
        <w:rPr>
          <w:rFonts w:hint="eastAsia" w:ascii="仿宋" w:hAnsi="仿宋" w:eastAsia="仿宋"/>
          <w:sz w:val="32"/>
          <w:szCs w:val="32"/>
        </w:rPr>
        <w:t>人防工程</w:t>
      </w:r>
      <w:r>
        <w:rPr>
          <w:rFonts w:hint="eastAsia" w:ascii="华文仿宋" w:hAnsi="华文仿宋" w:eastAsia="华文仿宋"/>
          <w:sz w:val="32"/>
          <w:szCs w:val="32"/>
        </w:rPr>
        <w:t>。</w:t>
      </w:r>
    </w:p>
    <w:p>
      <w:pPr>
        <w:shd w:val="clear" w:color="auto" w:fill="FFFFFF"/>
        <w:spacing w:line="480" w:lineRule="atLeast"/>
        <w:rPr>
          <w:rFonts w:ascii="黑体" w:hAnsi="黑体" w:eastAsia="黑体"/>
          <w:sz w:val="32"/>
          <w:szCs w:val="32"/>
        </w:rPr>
      </w:pPr>
      <w:r>
        <w:rPr>
          <w:rFonts w:hint="eastAsia" w:ascii="华文仿宋" w:hAnsi="华文仿宋" w:eastAsia="华文仿宋"/>
          <w:sz w:val="32"/>
          <w:szCs w:val="32"/>
        </w:rPr>
        <w:t xml:space="preserve">    </w:t>
      </w:r>
      <w:r>
        <w:rPr>
          <w:rFonts w:hint="eastAsia" w:ascii="黑体" w:hAnsi="黑体" w:eastAsia="黑体"/>
          <w:sz w:val="32"/>
          <w:szCs w:val="32"/>
        </w:rPr>
        <w:t>三、加强公共服务项目扶持，提升城市综合承载力</w:t>
      </w:r>
    </w:p>
    <w:p>
      <w:pPr>
        <w:shd w:val="clear" w:color="auto" w:fill="FFFFFF"/>
        <w:spacing w:line="480" w:lineRule="atLeast"/>
        <w:ind w:firstLine="630"/>
        <w:rPr>
          <w:rFonts w:ascii="华文仿宋" w:hAnsi="华文仿宋" w:eastAsia="华文仿宋"/>
          <w:sz w:val="32"/>
          <w:szCs w:val="32"/>
        </w:rPr>
      </w:pPr>
      <w:r>
        <w:rPr>
          <w:rFonts w:hint="eastAsia" w:ascii="华文仿宋" w:hAnsi="华文仿宋" w:eastAsia="华文仿宋"/>
          <w:sz w:val="32"/>
          <w:szCs w:val="32"/>
        </w:rPr>
        <w:t>加快推进城市基础设施建设，有效缓解城市交通拥堵和停车难的问题，鼓励和引导社会力量利用地下空间投资建设人防地下停车场等城市公共服务设施，并</w:t>
      </w:r>
      <w:r>
        <w:rPr>
          <w:rStyle w:val="6"/>
          <w:rFonts w:hint="eastAsia" w:ascii="华文仿宋" w:hAnsi="华文仿宋" w:eastAsia="华文仿宋"/>
          <w:b w:val="0"/>
          <w:sz w:val="32"/>
          <w:szCs w:val="32"/>
        </w:rPr>
        <w:t>给予</w:t>
      </w:r>
      <w:r>
        <w:rPr>
          <w:rFonts w:hint="eastAsia" w:ascii="华文仿宋" w:hAnsi="华文仿宋" w:eastAsia="华文仿宋"/>
          <w:sz w:val="32"/>
          <w:szCs w:val="32"/>
        </w:rPr>
        <w:t>相关优惠措施：</w:t>
      </w:r>
    </w:p>
    <w:p>
      <w:pPr>
        <w:shd w:val="clear" w:color="auto" w:fill="FFFFFF"/>
        <w:spacing w:line="480" w:lineRule="atLeast"/>
        <w:ind w:firstLine="630"/>
        <w:rPr>
          <w:rFonts w:ascii="华文仿宋" w:hAnsi="华文仿宋" w:eastAsia="华文仿宋"/>
          <w:bCs/>
          <w:sz w:val="32"/>
          <w:szCs w:val="32"/>
        </w:rPr>
      </w:pPr>
      <w:r>
        <w:rPr>
          <w:rFonts w:hint="eastAsia" w:ascii="华文仿宋" w:hAnsi="华文仿宋" w:eastAsia="华文仿宋"/>
          <w:sz w:val="32"/>
          <w:szCs w:val="32"/>
        </w:rPr>
        <w:t>（六）社会投资单独立项新建的公共地下停车场、地下过街通道等人防工程，土地出让金负一层按照地面同类用途楼面地价10%缴纳，负二层免收；城市基础设施配套费、行政事业性收费免收。</w:t>
      </w:r>
      <w:r>
        <w:rPr>
          <w:rFonts w:ascii="华文仿宋" w:hAnsi="华文仿宋" w:eastAsia="华文仿宋"/>
          <w:bCs/>
          <w:sz w:val="32"/>
          <w:szCs w:val="32"/>
        </w:rPr>
        <w:t xml:space="preserve"> </w:t>
      </w:r>
    </w:p>
    <w:p>
      <w:pPr>
        <w:shd w:val="clear" w:color="auto" w:fill="FFFFFF"/>
        <w:spacing w:line="480" w:lineRule="atLeast"/>
        <w:ind w:firstLine="630"/>
        <w:rPr>
          <w:rFonts w:ascii="华文仿宋" w:hAnsi="华文仿宋" w:eastAsia="华文仿宋"/>
          <w:bCs/>
          <w:sz w:val="32"/>
          <w:szCs w:val="32"/>
        </w:rPr>
      </w:pPr>
      <w:r>
        <w:rPr>
          <w:rFonts w:hint="eastAsia" w:ascii="华文仿宋" w:hAnsi="华文仿宋" w:eastAsia="华文仿宋"/>
          <w:bCs/>
          <w:sz w:val="32"/>
          <w:szCs w:val="32"/>
        </w:rPr>
        <w:t>（七）鼓励在有条件的城市公共绿地、道路下配建人防地下停车场，需临时占用绿地的，免收临时占用城市绿地补偿费；需临时占用道路的，免收临时占道费(停车场建成后，建设单位负责对占用城市道路进行恢复)。</w:t>
      </w:r>
    </w:p>
    <w:p>
      <w:pPr>
        <w:shd w:val="clear" w:color="auto" w:fill="FFFFFF"/>
        <w:spacing w:line="480" w:lineRule="atLeast"/>
        <w:ind w:firstLine="630"/>
        <w:rPr>
          <w:rFonts w:ascii="华文仿宋" w:hAnsi="华文仿宋" w:eastAsia="华文仿宋"/>
          <w:bCs/>
          <w:sz w:val="32"/>
          <w:szCs w:val="32"/>
        </w:rPr>
      </w:pPr>
      <w:r>
        <w:rPr>
          <w:rFonts w:hint="eastAsia" w:ascii="华文仿宋" w:hAnsi="华文仿宋" w:eastAsia="华文仿宋"/>
          <w:bCs/>
          <w:sz w:val="32"/>
          <w:szCs w:val="32"/>
        </w:rPr>
        <w:t>（八）新建地下人防公共停车场车位达到200个以上的，经规划部门核定，可配建一定比例的商业开发。</w:t>
      </w:r>
    </w:p>
    <w:p>
      <w:pPr>
        <w:shd w:val="clear" w:color="auto" w:fill="FFFFFF"/>
        <w:spacing w:line="480" w:lineRule="atLeast"/>
        <w:ind w:firstLine="630"/>
        <w:rPr>
          <w:rFonts w:ascii="华文仿宋" w:hAnsi="华文仿宋" w:eastAsia="华文仿宋"/>
          <w:bCs/>
          <w:sz w:val="32"/>
          <w:szCs w:val="32"/>
        </w:rPr>
      </w:pPr>
      <w:r>
        <w:rPr>
          <w:rFonts w:hint="eastAsia" w:ascii="华文仿宋" w:hAnsi="华文仿宋" w:eastAsia="华文仿宋"/>
          <w:bCs/>
          <w:sz w:val="32"/>
          <w:szCs w:val="32"/>
        </w:rPr>
        <w:t>（九）</w:t>
      </w:r>
      <w:r>
        <w:rPr>
          <w:rFonts w:hint="eastAsia" w:ascii="华文仿宋" w:hAnsi="华文仿宋" w:eastAsia="华文仿宋"/>
          <w:sz w:val="32"/>
          <w:szCs w:val="32"/>
        </w:rPr>
        <w:t>鼓励有条件的行政企事业单位利用自有地下人防停车场面向社会开放，提供停车服务</w:t>
      </w:r>
      <w:r>
        <w:rPr>
          <w:rFonts w:hint="eastAsia" w:ascii="华文仿宋" w:hAnsi="华文仿宋" w:eastAsia="华文仿宋"/>
          <w:bCs/>
          <w:sz w:val="32"/>
          <w:szCs w:val="32"/>
        </w:rPr>
        <w:t>。</w:t>
      </w:r>
    </w:p>
    <w:p>
      <w:pPr>
        <w:shd w:val="clear" w:color="auto" w:fill="FFFFFF"/>
        <w:spacing w:line="480" w:lineRule="atLeast"/>
        <w:ind w:firstLine="630"/>
        <w:rPr>
          <w:rFonts w:ascii="华文仿宋" w:hAnsi="华文仿宋" w:eastAsia="华文仿宋"/>
          <w:sz w:val="32"/>
          <w:szCs w:val="32"/>
        </w:rPr>
      </w:pPr>
      <w:r>
        <w:rPr>
          <w:rFonts w:hint="eastAsia" w:ascii="华文仿宋" w:hAnsi="华文仿宋" w:eastAsia="华文仿宋"/>
          <w:sz w:val="32"/>
          <w:szCs w:val="32"/>
        </w:rPr>
        <w:t>（十）在城市中心</w:t>
      </w:r>
      <w:r>
        <w:rPr>
          <w:rFonts w:hint="eastAsia" w:ascii="华文仿宋" w:hAnsi="华文仿宋" w:eastAsia="华文仿宋"/>
          <w:bCs/>
          <w:sz w:val="32"/>
          <w:szCs w:val="32"/>
        </w:rPr>
        <w:t>区社会投资新建并独立核算的地下人防公共停车场项目，竣工验收后，政府财政给予一次性奖励资金补助：规模在100个泊位以上的地下人防停车场，每个标准泊位享受2000元补助，奖励资金补助从各市收取的人防工程易地建设费中列支。</w:t>
      </w:r>
    </w:p>
    <w:p>
      <w:pPr>
        <w:shd w:val="clear" w:color="auto" w:fill="FFFFFF"/>
        <w:spacing w:line="480" w:lineRule="atLeast"/>
        <w:ind w:firstLine="630"/>
        <w:rPr>
          <w:rFonts w:ascii="华文仿宋" w:hAnsi="华文仿宋" w:eastAsia="华文仿宋"/>
          <w:bCs/>
          <w:sz w:val="32"/>
          <w:szCs w:val="32"/>
        </w:rPr>
      </w:pPr>
      <w:r>
        <w:rPr>
          <w:rFonts w:hint="eastAsia" w:ascii="华文仿宋" w:hAnsi="华文仿宋" w:eastAsia="华文仿宋"/>
          <w:sz w:val="32"/>
          <w:szCs w:val="32"/>
        </w:rPr>
        <w:t>（十一）社会投资</w:t>
      </w:r>
      <w:r>
        <w:rPr>
          <w:rFonts w:hint="eastAsia" w:ascii="华文仿宋" w:hAnsi="华文仿宋" w:eastAsia="华文仿宋"/>
          <w:bCs/>
          <w:sz w:val="32"/>
          <w:szCs w:val="32"/>
        </w:rPr>
        <w:t>新建并独立核算</w:t>
      </w:r>
      <w:r>
        <w:rPr>
          <w:rFonts w:hint="eastAsia" w:ascii="华文仿宋" w:hAnsi="华文仿宋" w:eastAsia="华文仿宋"/>
          <w:sz w:val="32"/>
          <w:szCs w:val="32"/>
        </w:rPr>
        <w:t>的公共</w:t>
      </w:r>
      <w:r>
        <w:rPr>
          <w:rFonts w:hint="eastAsia" w:ascii="华文仿宋" w:hAnsi="华文仿宋" w:eastAsia="华文仿宋"/>
          <w:bCs/>
          <w:sz w:val="32"/>
          <w:szCs w:val="32"/>
        </w:rPr>
        <w:t>人防地下</w:t>
      </w:r>
      <w:r>
        <w:rPr>
          <w:rFonts w:hint="eastAsia" w:ascii="华文仿宋" w:hAnsi="华文仿宋" w:eastAsia="华文仿宋"/>
          <w:sz w:val="32"/>
          <w:szCs w:val="32"/>
        </w:rPr>
        <w:t>停车场</w:t>
      </w:r>
      <w:r>
        <w:rPr>
          <w:rStyle w:val="6"/>
          <w:rFonts w:hint="eastAsia" w:ascii="华文仿宋" w:hAnsi="华文仿宋" w:eastAsia="华文仿宋"/>
          <w:b w:val="0"/>
          <w:sz w:val="32"/>
          <w:szCs w:val="32"/>
        </w:rPr>
        <w:t>项目，自项目建成经营纳税之日起，由市财政对其缴纳的营业税和企业所得税地方所得部分按以下标准奖励投资者：建设规模100</w:t>
      </w:r>
      <w:r>
        <w:rPr>
          <w:rStyle w:val="6"/>
          <w:rFonts w:ascii="华文仿宋" w:hAnsi="华文仿宋" w:eastAsia="华文仿宋"/>
          <w:b w:val="0"/>
          <w:sz w:val="32"/>
          <w:szCs w:val="32"/>
        </w:rPr>
        <w:t>—</w:t>
      </w:r>
      <w:r>
        <w:rPr>
          <w:rStyle w:val="6"/>
          <w:rFonts w:hint="eastAsia" w:ascii="华文仿宋" w:hAnsi="华文仿宋" w:eastAsia="华文仿宋"/>
          <w:b w:val="0"/>
          <w:sz w:val="32"/>
          <w:szCs w:val="32"/>
        </w:rPr>
        <w:t>300个泊位的，第一年按50%奖励补助，第二年起按上年比例逐年递减10%；建设规模300个泊位以上的，第一年至第三年按50%奖励补助，第四年起按上年比例逐年递减10%。</w:t>
      </w:r>
    </w:p>
    <w:p>
      <w:pPr>
        <w:shd w:val="clear" w:color="auto" w:fill="FFFFFF"/>
        <w:spacing w:line="480" w:lineRule="atLeast"/>
        <w:rPr>
          <w:rFonts w:ascii="黑体" w:hAnsi="黑体" w:eastAsia="黑体"/>
          <w:sz w:val="32"/>
          <w:szCs w:val="32"/>
        </w:rPr>
      </w:pPr>
      <w:r>
        <w:rPr>
          <w:rFonts w:hint="eastAsia" w:ascii="华文仿宋" w:hAnsi="华文仿宋" w:eastAsia="华文仿宋"/>
          <w:sz w:val="32"/>
          <w:szCs w:val="32"/>
        </w:rPr>
        <w:t xml:space="preserve">    </w:t>
      </w:r>
      <w:r>
        <w:rPr>
          <w:rFonts w:hint="eastAsia" w:ascii="黑体" w:hAnsi="黑体" w:eastAsia="黑体"/>
          <w:sz w:val="32"/>
          <w:szCs w:val="32"/>
        </w:rPr>
        <w:t>四、创新投资运营机制，加快人防工程建设步伐</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积极探索人防工程走市场化、社会化的途径和方式，创新人防工程投资运营机制，多种形式投资建设人防工程，加强政策扶持，拓展融资渠道，降低企业融资成本。</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（十二）开展政府与社会资本合作模式（PPP），通过政府购买服务等形式，鼓励社会资本以独资、合资、联营、租赁等方式，参与人防工程建设。</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（十三）银行、金融机构为人防工程开发项目尤其是地下人防公共停车场项目积极提供信贷资金支持。 </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（十四）提升人防工程管理水平，简化人防行政审批程序，一次性办结，为投资者创造良好投资环境。</w:t>
      </w:r>
    </w:p>
    <w:p>
      <w:pPr>
        <w:ind w:firstLine="640" w:firstLineChars="200"/>
        <w:rPr>
          <w:rFonts w:ascii="黑体" w:hAnsi="黑体" w:eastAsia="黑体"/>
          <w:sz w:val="32"/>
          <w:szCs w:val="32"/>
        </w:rPr>
      </w:pPr>
      <w:r>
        <w:rPr>
          <w:rFonts w:hint="eastAsia" w:ascii="黑体" w:hAnsi="黑体" w:eastAsia="黑体"/>
          <w:sz w:val="32"/>
          <w:szCs w:val="32"/>
        </w:rPr>
        <w:t>五、加大人防工程开发利用力度，实现综合效益</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鼓励人防工程平时开发利用，服务民生。吸引民间资本对早期人防工程综合治理和开发利用，对具备开发利用价值的，改造为商用、物资储备等场所，发挥人防工程经济效益、社会效益。</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(十五)开发利用的人防工程，平时用电、用水、用气按照居民生活同价收费。  </w:t>
      </w:r>
    </w:p>
    <w:p>
      <w:pPr>
        <w:ind w:firstLine="480" w:firstLineChars="150"/>
        <w:rPr>
          <w:rFonts w:ascii="华文仿宋" w:hAnsi="华文仿宋" w:eastAsia="华文仿宋"/>
          <w:sz w:val="32"/>
          <w:szCs w:val="32"/>
        </w:rPr>
      </w:pPr>
      <w:r>
        <w:rPr>
          <w:rFonts w:hint="eastAsia" w:ascii="华文仿宋" w:hAnsi="华文仿宋" w:eastAsia="华文仿宋"/>
          <w:sz w:val="32"/>
          <w:szCs w:val="32"/>
        </w:rPr>
        <w:t xml:space="preserve">（十六）开发利用的早期公共人防工程，经营者免收一年人防工程租赁费。 </w:t>
      </w:r>
    </w:p>
    <w:p>
      <w:pPr>
        <w:shd w:val="clear" w:color="auto" w:fill="FFFFFF"/>
        <w:spacing w:line="480" w:lineRule="atLeast"/>
        <w:ind w:firstLine="4000" w:firstLineChars="1250"/>
        <w:rPr>
          <w:rFonts w:ascii="华文仿宋" w:hAnsi="华文仿宋" w:eastAsia="华文仿宋"/>
          <w:sz w:val="32"/>
          <w:szCs w:val="32"/>
        </w:rPr>
      </w:pPr>
    </w:p>
    <w:p>
      <w:pPr>
        <w:shd w:val="clear" w:color="auto" w:fill="FFFFFF"/>
        <w:spacing w:line="480" w:lineRule="atLeast"/>
        <w:ind w:firstLine="4000" w:firstLineChars="1250"/>
        <w:rPr>
          <w:rFonts w:ascii="华文仿宋" w:hAnsi="华文仿宋" w:eastAsia="华文仿宋"/>
          <w:sz w:val="32"/>
          <w:szCs w:val="32"/>
        </w:rPr>
      </w:pPr>
    </w:p>
    <w:p>
      <w:pPr>
        <w:shd w:val="clear" w:color="auto" w:fill="FFFFFF"/>
        <w:spacing w:line="480" w:lineRule="atLeast"/>
        <w:ind w:firstLine="4000" w:firstLineChars="1250"/>
        <w:rPr>
          <w:rFonts w:ascii="华文仿宋" w:hAnsi="华文仿宋" w:eastAsia="华文仿宋"/>
          <w:sz w:val="32"/>
          <w:szCs w:val="32"/>
        </w:rPr>
      </w:pPr>
    </w:p>
    <w:p>
      <w:pPr>
        <w:shd w:val="clear" w:color="auto" w:fill="FFFFFF"/>
        <w:spacing w:line="480" w:lineRule="atLeast"/>
        <w:ind w:firstLine="4000" w:firstLineChars="1250"/>
        <w:rPr>
          <w:rFonts w:ascii="华文仿宋" w:hAnsi="华文仿宋" w:eastAsia="华文仿宋"/>
          <w:sz w:val="32"/>
          <w:szCs w:val="32"/>
        </w:rPr>
      </w:pPr>
    </w:p>
    <w:p>
      <w:pPr>
        <w:shd w:val="clear" w:color="auto" w:fill="FFFFFF"/>
        <w:spacing w:line="480" w:lineRule="atLeast"/>
        <w:ind w:firstLine="4000" w:firstLineChars="1250"/>
        <w:rPr>
          <w:rFonts w:ascii="华文仿宋" w:hAnsi="华文仿宋" w:eastAsia="华文仿宋"/>
          <w:sz w:val="32"/>
          <w:szCs w:val="32"/>
        </w:rPr>
      </w:pPr>
      <w:r>
        <w:rPr>
          <w:rFonts w:hint="eastAsia" w:ascii="华文仿宋" w:hAnsi="华文仿宋" w:eastAsia="华文仿宋"/>
          <w:sz w:val="32"/>
          <w:szCs w:val="32"/>
        </w:rPr>
        <w:t>自治区人民防空办公室</w:t>
      </w:r>
    </w:p>
    <w:p>
      <w:pPr>
        <w:shd w:val="clear" w:color="auto" w:fill="FFFFFF"/>
        <w:spacing w:line="480" w:lineRule="atLeast"/>
        <w:ind w:firstLine="4480" w:firstLineChars="1400"/>
        <w:rPr>
          <w:rFonts w:ascii="华文仿宋" w:hAnsi="华文仿宋" w:eastAsia="华文仿宋"/>
          <w:sz w:val="32"/>
          <w:szCs w:val="32"/>
        </w:rPr>
      </w:pPr>
      <w:r>
        <w:rPr>
          <w:rFonts w:hint="eastAsia" w:ascii="华文仿宋" w:hAnsi="华文仿宋" w:eastAsia="华文仿宋"/>
          <w:sz w:val="32"/>
          <w:szCs w:val="32"/>
        </w:rPr>
        <w:t>2017年10月18日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25"/>
    <w:rsid w:val="00000262"/>
    <w:rsid w:val="00041036"/>
    <w:rsid w:val="00045F14"/>
    <w:rsid w:val="0005258A"/>
    <w:rsid w:val="000543B8"/>
    <w:rsid w:val="00077DF8"/>
    <w:rsid w:val="000940E8"/>
    <w:rsid w:val="000C0D11"/>
    <w:rsid w:val="000C551D"/>
    <w:rsid w:val="000E2467"/>
    <w:rsid w:val="0011288D"/>
    <w:rsid w:val="00120FEF"/>
    <w:rsid w:val="00124002"/>
    <w:rsid w:val="00125033"/>
    <w:rsid w:val="00131928"/>
    <w:rsid w:val="00134FB5"/>
    <w:rsid w:val="00173E95"/>
    <w:rsid w:val="00175789"/>
    <w:rsid w:val="00181C38"/>
    <w:rsid w:val="00184AB9"/>
    <w:rsid w:val="00193161"/>
    <w:rsid w:val="0022359B"/>
    <w:rsid w:val="00225E48"/>
    <w:rsid w:val="0023194F"/>
    <w:rsid w:val="00240B9A"/>
    <w:rsid w:val="00274B17"/>
    <w:rsid w:val="002768C5"/>
    <w:rsid w:val="00282C37"/>
    <w:rsid w:val="002907A4"/>
    <w:rsid w:val="00297993"/>
    <w:rsid w:val="002C1E5B"/>
    <w:rsid w:val="002C56A7"/>
    <w:rsid w:val="002D45CC"/>
    <w:rsid w:val="002E7502"/>
    <w:rsid w:val="0032638D"/>
    <w:rsid w:val="003638EB"/>
    <w:rsid w:val="003640DE"/>
    <w:rsid w:val="003654E1"/>
    <w:rsid w:val="00373F25"/>
    <w:rsid w:val="00381D3D"/>
    <w:rsid w:val="00384FDB"/>
    <w:rsid w:val="00387142"/>
    <w:rsid w:val="003A1FCC"/>
    <w:rsid w:val="003B6AFD"/>
    <w:rsid w:val="003C3AA3"/>
    <w:rsid w:val="003E54CA"/>
    <w:rsid w:val="003E768D"/>
    <w:rsid w:val="003F1A9B"/>
    <w:rsid w:val="00411203"/>
    <w:rsid w:val="00413E7A"/>
    <w:rsid w:val="00415628"/>
    <w:rsid w:val="0043192F"/>
    <w:rsid w:val="004403B7"/>
    <w:rsid w:val="0044588C"/>
    <w:rsid w:val="004458B8"/>
    <w:rsid w:val="0046574D"/>
    <w:rsid w:val="004724CC"/>
    <w:rsid w:val="004757E9"/>
    <w:rsid w:val="00481D3C"/>
    <w:rsid w:val="00483790"/>
    <w:rsid w:val="004870CF"/>
    <w:rsid w:val="0049700F"/>
    <w:rsid w:val="004A7709"/>
    <w:rsid w:val="004B27DE"/>
    <w:rsid w:val="004B5DFF"/>
    <w:rsid w:val="004C1955"/>
    <w:rsid w:val="004D29C7"/>
    <w:rsid w:val="004D350F"/>
    <w:rsid w:val="004D5751"/>
    <w:rsid w:val="00521D1C"/>
    <w:rsid w:val="00530F8B"/>
    <w:rsid w:val="00535740"/>
    <w:rsid w:val="005456E8"/>
    <w:rsid w:val="005777EF"/>
    <w:rsid w:val="005A451B"/>
    <w:rsid w:val="005A660B"/>
    <w:rsid w:val="005C7039"/>
    <w:rsid w:val="005D221F"/>
    <w:rsid w:val="005D5BDD"/>
    <w:rsid w:val="00603C14"/>
    <w:rsid w:val="00612189"/>
    <w:rsid w:val="0061293C"/>
    <w:rsid w:val="006157FF"/>
    <w:rsid w:val="00617B84"/>
    <w:rsid w:val="006404CD"/>
    <w:rsid w:val="006459C6"/>
    <w:rsid w:val="00645DD1"/>
    <w:rsid w:val="0065081F"/>
    <w:rsid w:val="006510B0"/>
    <w:rsid w:val="00651C99"/>
    <w:rsid w:val="006710F2"/>
    <w:rsid w:val="00673BFA"/>
    <w:rsid w:val="006873C8"/>
    <w:rsid w:val="00695729"/>
    <w:rsid w:val="006A01FF"/>
    <w:rsid w:val="006A48A1"/>
    <w:rsid w:val="006A7455"/>
    <w:rsid w:val="006C78A6"/>
    <w:rsid w:val="006D412A"/>
    <w:rsid w:val="006E07D6"/>
    <w:rsid w:val="006F23DC"/>
    <w:rsid w:val="0070425B"/>
    <w:rsid w:val="007532DD"/>
    <w:rsid w:val="00767E68"/>
    <w:rsid w:val="00777EC1"/>
    <w:rsid w:val="00782DDE"/>
    <w:rsid w:val="007864E0"/>
    <w:rsid w:val="00787B11"/>
    <w:rsid w:val="00790474"/>
    <w:rsid w:val="00791C45"/>
    <w:rsid w:val="0079351C"/>
    <w:rsid w:val="007972D4"/>
    <w:rsid w:val="007A0BB7"/>
    <w:rsid w:val="007C1985"/>
    <w:rsid w:val="00805B8B"/>
    <w:rsid w:val="00812418"/>
    <w:rsid w:val="00813D2B"/>
    <w:rsid w:val="00846EC6"/>
    <w:rsid w:val="00895AE9"/>
    <w:rsid w:val="008A2B6E"/>
    <w:rsid w:val="008B1704"/>
    <w:rsid w:val="008F2EC9"/>
    <w:rsid w:val="009177AD"/>
    <w:rsid w:val="009347B9"/>
    <w:rsid w:val="0094096B"/>
    <w:rsid w:val="00970862"/>
    <w:rsid w:val="009819CD"/>
    <w:rsid w:val="009961B2"/>
    <w:rsid w:val="00A0211D"/>
    <w:rsid w:val="00A048B2"/>
    <w:rsid w:val="00A05E6B"/>
    <w:rsid w:val="00A14273"/>
    <w:rsid w:val="00A50108"/>
    <w:rsid w:val="00A57C9A"/>
    <w:rsid w:val="00A620A6"/>
    <w:rsid w:val="00A6438E"/>
    <w:rsid w:val="00A679AC"/>
    <w:rsid w:val="00A84268"/>
    <w:rsid w:val="00A915C8"/>
    <w:rsid w:val="00A9729A"/>
    <w:rsid w:val="00AA7AFB"/>
    <w:rsid w:val="00AB52FA"/>
    <w:rsid w:val="00AB5D42"/>
    <w:rsid w:val="00AB7A75"/>
    <w:rsid w:val="00AC1DAC"/>
    <w:rsid w:val="00AC6ED3"/>
    <w:rsid w:val="00AE7648"/>
    <w:rsid w:val="00B14A17"/>
    <w:rsid w:val="00B355E4"/>
    <w:rsid w:val="00B44CB8"/>
    <w:rsid w:val="00B52AE0"/>
    <w:rsid w:val="00B70F66"/>
    <w:rsid w:val="00B8581F"/>
    <w:rsid w:val="00B93FE0"/>
    <w:rsid w:val="00B956C9"/>
    <w:rsid w:val="00BA0CCE"/>
    <w:rsid w:val="00BC2B8E"/>
    <w:rsid w:val="00BE1E6B"/>
    <w:rsid w:val="00C1492A"/>
    <w:rsid w:val="00C30C96"/>
    <w:rsid w:val="00C35AE2"/>
    <w:rsid w:val="00C35D05"/>
    <w:rsid w:val="00C37AE6"/>
    <w:rsid w:val="00C5184E"/>
    <w:rsid w:val="00C53498"/>
    <w:rsid w:val="00C94627"/>
    <w:rsid w:val="00CB0500"/>
    <w:rsid w:val="00CD20A3"/>
    <w:rsid w:val="00CE0208"/>
    <w:rsid w:val="00CF1E46"/>
    <w:rsid w:val="00D06BEA"/>
    <w:rsid w:val="00D21D2B"/>
    <w:rsid w:val="00D30A9A"/>
    <w:rsid w:val="00D405CC"/>
    <w:rsid w:val="00D50D2E"/>
    <w:rsid w:val="00D52A04"/>
    <w:rsid w:val="00DA7082"/>
    <w:rsid w:val="00DC126B"/>
    <w:rsid w:val="00DE7D49"/>
    <w:rsid w:val="00DF16F7"/>
    <w:rsid w:val="00E01935"/>
    <w:rsid w:val="00E06ECD"/>
    <w:rsid w:val="00E23F7B"/>
    <w:rsid w:val="00E34D3F"/>
    <w:rsid w:val="00E34EFB"/>
    <w:rsid w:val="00E45EF3"/>
    <w:rsid w:val="00E733BA"/>
    <w:rsid w:val="00E90FD7"/>
    <w:rsid w:val="00E94F94"/>
    <w:rsid w:val="00EA059E"/>
    <w:rsid w:val="00EB4C4D"/>
    <w:rsid w:val="00EC273B"/>
    <w:rsid w:val="00EC6C1A"/>
    <w:rsid w:val="00EF1F18"/>
    <w:rsid w:val="00EF4EE0"/>
    <w:rsid w:val="00EF567E"/>
    <w:rsid w:val="00F04B74"/>
    <w:rsid w:val="00F10BAF"/>
    <w:rsid w:val="00F11145"/>
    <w:rsid w:val="00F21859"/>
    <w:rsid w:val="00F34F5E"/>
    <w:rsid w:val="00F35013"/>
    <w:rsid w:val="00F45C44"/>
    <w:rsid w:val="00F6184F"/>
    <w:rsid w:val="00F64632"/>
    <w:rsid w:val="00F64D43"/>
    <w:rsid w:val="00FB52D9"/>
    <w:rsid w:val="00FB54FC"/>
    <w:rsid w:val="296E2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customStyle="1" w:styleId="8">
    <w:name w:val="标题 1 Char"/>
    <w:basedOn w:val="5"/>
    <w:link w:val="2"/>
    <w:qFormat/>
    <w:uiPriority w:val="0"/>
    <w:rPr>
      <w:rFonts w:ascii="宋体" w:hAnsi="宋体" w:eastAsia="宋体" w:cs="宋体"/>
      <w:b/>
      <w:bCs/>
      <w:kern w:val="36"/>
      <w:sz w:val="48"/>
      <w:szCs w:val="48"/>
    </w:rPr>
  </w:style>
  <w:style w:type="character" w:customStyle="1" w:styleId="9">
    <w:name w:val="页眉 Char"/>
    <w:basedOn w:val="5"/>
    <w:link w:val="4"/>
    <w:semiHidden/>
    <w:uiPriority w:val="99"/>
    <w:rPr>
      <w:rFonts w:ascii="Times New Roman" w:hAnsi="Times New Roman" w:eastAsia="宋体" w:cs="Times New Roman"/>
      <w:sz w:val="18"/>
      <w:szCs w:val="18"/>
    </w:rPr>
  </w:style>
  <w:style w:type="character" w:customStyle="1" w:styleId="10">
    <w:name w:val="页脚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302</Words>
  <Characters>1722</Characters>
  <Lines>14</Lines>
  <Paragraphs>4</Paragraphs>
  <TotalTime>0</TotalTime>
  <ScaleCrop>false</ScaleCrop>
  <LinksUpToDate>false</LinksUpToDate>
  <CharactersWithSpaces>2020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2017-07-27T03:14:00Z</dcterms:created>
  <dc:creator>SHEMI</dc:creator>
  <cp:lastModifiedBy>天边的荒野</cp:lastModifiedBy>
  <cp:lastPrinted>2017-10-19T03:05:00Z</cp:lastPrinted>
  <dcterms:modified xsi:type="dcterms:W3CDTF">2017-12-07T07:54:48Z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